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09.04.2019, оставленным без изменения постановлением Второго арбитражного апелляционного суда от 11.07.2019 и постановлением Арбитражного суда Волго-Вятского округа от 25.09.2019, в удовлетворении заявления отказано. В кассационной жалобе, поданной в Верховный Суд Российской Федерации, товарищество, ссылаясь на существенное нарушение норм права, просит отменить судебные акты и принять по делу новый судебный акт об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собственниками помещений в многоквартирном доме № 18 по улице Мичурина в городе Фурманов Ивановской области выбран способ управления - управление товариществом собственников жилья, создано товарищество. В период с 06.12.2018 по 19.12.2018 администрацией проведена внеплановая выездная проверка исполнения ранее выданного предписания от 09.07.2018 № 5 и установлен факт его частичного исполнения, констатировано невыполнение требования предписания о замене деревянных поручней ограждения балкона квартиры № 12 с выходом из комнаты и их последующего окрашивания атмосфероустойчивой краской, а также металлического ограждения балкона. По результатам проверки товариществу выдано обязательное для исполнения предписание № 12, в соответствии с которым возложена обязанность в срок до 19.03.2019 устранить выявленные нарушения путем замены деревянных поручней балкона с выходом из комнаты квартиры № 12 с последующим окрашиванием атмосфероустойчивой краской, а также металлического ограждения балкона. Не согласившись с предписанием администрации, товарищество обратилось в арбитражный суд. Отказывая в удовлетворении требования, суды первой и апелляционной инстанций, оценив представленные в материалы дела доказательства, руководствуясь положениями статьи 210 Гражданского кодекса Российской Федерации, статьей 161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и нормами технической эксплуатации жилищного фонда, утвержденными постановлением Государственного комитета Российской Федерации по строительству и жилищно-коммунальному комплексу от 27.09.2003 № 170, пришли к выводу о том, что оспариваемое предписание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того, что устранение выявленных нарушений является составной частью содержания и текущего ремонта общего имущества многоквартирного дома, носит обязательный для товарищества характер в силу действующего правового регулирования. При этом суды отметили, что при рассмотрении дела не установлено обстоятельств того, что спорные работы носят характер капитального ремонта. Доводы жалобы являлись предметом рассмотрения судов и им дана надлежащая правовая оценка. Приведенные заявителем доводы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 и основаны на ином толковании применительно к ним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«Уют»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