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01.02.2019 взыскано 935 607 рублей страхового возмещения. Девятый арбитражный апелляционный суд постановлением от 10.06.2019 отменил решение от 01.02.2019 и удовлетворил иск в заявленном размере. Арбитражный суд Московского округа постановлением от 28.08.2019 постановление Девятого арбитражного апелляционного суда от 10.06.2019 оставил без изменения. В кассационной жалобе общество «РЕСО-Гарантия» просит об отмене судебных актов апелляционного и окружного судов как незаконных вследствие несоответствия полной страховой сумме убытков в связи со страховым случаем.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Оснований для определения убытков в ином, чем полная страховая сумма, размере при установленной на основании представленных и собранных доказательств гибели всех застрахованных позиций оборудования не имелось. При неустановленном отсутствии оборудования в месте страхования в момент наступления страхового случая размер определенного апелляционным судом страхового возмещения не противоречит статье 929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страховому публичному акционерному обществу «РЕСО-Гарантия»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