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01.02.2019, оставленным без изменения постановлением Девятнадцатого арбитражного апелляционного суда от 29.04.2019 и постановлением Арбитражного суда Центрального округа от 02.09.2019, первоначальный иск удовлетворен частично, с порта в пользу общества взыскано 4 132 475 руб. 35 коп. задолженности, в удовлетворении остальной части требований отказано. Встречные исковые требования удовлетворены частично, с общества в пользу порта взыскано 88 609 руб. 50 коп. неустойки на основании пункта 5.2 договора от 21.08.2017 № 11/074/08/17 за период с 20.09.2017 по 22.09.2017, 2 284 800 руб. 96 коп. задолженности по арендной плате по договору от 25.09.2017 № 4/058/09/17, 321 471 руб. 50 коп. неустойки за период с 17.10.2017 по 28.01.2019, а также неустойка на сумму долга в размере 2 284 800 руб. 96 коп. с 29.01.2019 за каждый день просрочки до фактической оплаты суммы долга, в удовлетворении остальной части требований отказано. Произведен зачет удовлетворенных требований. В кассационной жалобе, поданной в Верховный Суд Российской Федерации, порт просит отменить указанные судебные акты как принятые с нарушением норм материального права, выражая несогласие с выводами судов об отсутствии оснований для удовлетворения встречных исковых требований о взыскании с общества убытков.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Разрешая спор в обжалуемой части,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15 , 393 Гражданского кодекса Российской Федерации, исходили из недоказанности совокупности условий, необходимых для привлечения общества к гражданско-правовой ответственности в виде возмещения убытков. С указанными выводами впоследствии согласился суд округа. Доводы кассационной жалобы не опровергают выводы судов, направлены на переоценку обстоятельств дела, установленных судами, и не подтверждают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«Торговый порт «Благовещенск»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