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27.02.2019, оставленным без изменения постановлением Пятого арбитражного апелляционного суда от 22.05.2019, в удовлетворении иска отказано. Арбитражный суд Дальневосточного округа постановлением от 16.08.2019 решение от 27.02.2019 и постановление Пятого арбитражного апелляционного суда от 22.05.2019 оставил без изменения. В кассационной жалобе общество просит об отмене судебных актов как незаконных, ссылаясь на игнорирование представленных в обоснование проводимых операций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Правомочность осуществления банком контроля за операциями клиента, основана на нормах Федерального закона от 07.08.2001 № 115-ФЗ «О противодействии легализации (отмыванию) доходов, полученных преступным путем, и финансированию терроризма». Суды установили, что доводы истца о предоставлении банку требуемых документов в обоснование характера операций по счету не подтверждены, поэтому признали принятые банком меры не противоречащими статье 859 Гражданского кодекса Российской Федерации. Иная оценка заявителем обстоятельств дела и представленных доказательств, к которой сводятся доводы жалобы,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«Фиш 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