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06.03.2019 исковое заявление оставлено без движения как поданное обществом с нарушением пунктов 2, 3, 9 части 1 статьи 126 Арбитражного процессуального кодекса Российской Федерации. Определением Арбитражного суда города Москвы от 30.04.2019, оставленным без изменения постановлением Девятого арбитражного апелляционного суда от 22.08.2019 и постановлением Арбитражного суда Московского округа от 07.10.2019, исковое заявление возвращено, так как истец не устранил обстоятельства, послужившие основанием для оставления искового заявления без движения. В кассационной жалобе общество просит об отмене указанных судебных актов в связи с нарушением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Возвращение искового заявления не препятствует восстановлению прав общества, поэтому указанные основания для пересмотра судебных актов отсутствуют.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«Абрис-Агро»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