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18.03.2019, оставленным без изменения постановлением Шестого арбитражного апелляционного суда от 03.06.2019 и постановлением Арбитражного суда Дальневосточного округа от 20.08.2019, иск удовлетворен. В кассационной жалобе общество просит об отмене судебных актов как незаконных вследствие приобретения учреждением товара по неразумной цене.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исследовав обстоятельства дела, установили совокупность условий, необходимых для взыскания убытков, составляющих разницу между согласованной в государственном контракте от 26.08.2016 № 280 ценой и ценой сопоставимого товара по совершенной взамен сделке, поэтому удовлетворили иск в соответствии со статьями 15 , 393 , 393.1 , 520 , 524 Гражданского кодекса Российской Федерации. Добросовестность истца и разумность его действий при заключении замещающей сделки предполагаются (пункт 5 статьи 10 , пункт 3 статьи 307 , статья 393.1 Гражданского кодекса Российской Федерации) и доказательств обратного общество не представило. Оценка поведения учреждения, заключившего замещающую сделку, произведена судами в соответствии с правилами статьи 10 Гражданского кодекса Российской Федерации и не подлежит переоценке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«Оптовик-Трейд»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