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26.03.2019 производство по делу в части признания недействительным пункта 9 Тарифов на услуги прекращено, в иске предпринимателю о взыскании неосновательного обогащения отказано. Девятый арбитражный апелляционный суд постановлением от 01.07.2019 и Арбитражный суд Московского округа постановлением от 01.10.2019 оставили решение от 26.03.2019 без изменения. В кассационной жалобе предприниматель просит об отмене указанных судебных актов вследствие ничтожности как нарушающего публичные интересы условия о взимании спорной комиссии.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оспариваемые Тарифы являются условиями договора банковского обслуживания от 15.03.2017 № ДКО ЮЛ 6902, определяемыми соглашением сторон, поэтому не могут признаваться нарушающими публичные интересы и вследствие этого ничтожными.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