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04.02.2019, оставленным без изменения постановлением Семнадцатого арбитражного апелляционного суда от 17.05.2019 и постановлением Арбитражного суда Уральского округа от 23.08.2019, иск удовлетворен частично. В кассационной жалобе кооператив просит о пересмотре судебных актов в неудовлетворенной части иска как незаконных, указывая на наличие состава правонарушения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Вопреки доводам кооператива суды не опровергли его права на взыскание убытков и установили законные условия для взыскания их с ответчика. Недоказанность убытков во всем требуемом размере, вмененная судами кооперативу, при существующих прочих условиях является основанием к отказу в иске. Вопросы доказывания и оценки доказательств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гаражно-эксплуатационному кооперативу «Пушка»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