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10.11.2018, оставленным без изменения постановлением Третьего арбитражного апелляционного суда от 01.04.2019 и постановлением Арбитражного суда Восточно-Сибирского округа от 20.08.2019, первоначальный иск удовлетворен частично, в удовлетворении встречного иска отказано. В кассационной жалобе общество просит о пересмотре указанных судебных актов как незаконных вследствие неустановления всех имеющих значение для правильного рассмотрения дела обстоятельств.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Фактическое принятие и использование результата работ в отношениях, регулируемых контрактным законодательством, не является основанием для оплаты в отсутствие согласования работ сторонами в пределах и форме, предусмотренных норами Федерального закона от 05.04.2013 № 44 «О контрактной системе в сфере закупок товаров, работ и услуг для обеспечения государственных и муниципальных нужд». Приведенная обществом судебная практика основана на изложенной концепции и ей соответствуют судебные акты. В несвоевременном выполнении работ установлена обоюдная вина сторон, что отразилось на размере взысканной с общества неустойки.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«Информационные спутниковые системы имени академика М.Ф. Решетнёва»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