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17.06.2019, принятым в порядке упрощенного производства и оставленным без изменения постановлением Девятого арбитражного апелляционного суда от 30.08.2019, иск удовлетворен. В кассационной жалобе общество «ВРК-3» просит о пересмотре указанных судебных актов как незаконных вследствие нерассмотрения дела по общим правилам судопроизводства и неприменения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на основании представленных доказательств установили отцепку вагонов и проведение восстановительного ремонта в связи с некачественным выполнением подрядчиком (ответчиком) планового ремонта вагонов в рамках договора от 08.02.2013 № ДД/В-33/13 и удовлетворили иск в соответствии со статьями 309 , 310 , 702 , 724 Гражданского кодекса Российской Федерации, Суд первой инстанции в связи с ходатайством заявителя критериев для рассмотрения дела по общим правилам искового судопроизводства не установил. Неприменение исковой давности обосновано судом непредставлением доказательств, в обоснование которых ответчик ссылался на пропуск срока исковой давности.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акционерного общества «Вагонная ремонтная компания-3»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