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30.04.2019, оставленным без изменения постановлением Девятого арбитражного апелляционного суда от 31.07.2019 и постановлением Арбитражного суда Московского округа от 16.10.2019, в удовлетворении заявленного требования отказано. В кассационной жалобе, поданной в Верховный Суд Российской Федерации, общество просит отменить судебные акты, ссылаясь на существенное нарушение норм права, и удовлетворить требование.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оспоренным предписанием на общество возложена обязанность принять меры по перерасчету суммы задолженности заемщика по договору займа от 01.08.2018 № БЕ007507 с учетом нарушений, указанных в описательной части настоящего предписания; довести до заемщика информацию об устранении нарушений с указанием размера излишне уплаченных денежных средств по договору займа (при наличии); представить объяснения по факту допущенных нарушений; принять меры, направленные на недопущение в дальнейшей деятельности подобных нарушений действующего законодательства и представить документы, подтверждающие принятие данных мер; предоставить в управление отчет об исполнении предписания с приложением копий подтверждающих документов. Оценив представленные в материалы дела доказательства, в том числе условия заключенного между сторонами договора займа, суды, руководствуясь положениями статьей 9, 76.1, 76.5 Федерального закона от 10.07.2002 № 86-ФЗ «О Центральном банке Российской Федерации (Банке России)», статей 2.3, 7, 8 Федерального закона от 19.07.2007 № 196-ФЗ «О ломбардах» (далее - Закон о ломбардах), статей 191 , 309 , 809 Гражданского кодекса Российской Федерации, пришли к выводу о том, что оспоренное предписание соответствует требованиям законодательства, вынесено в пределах предоставленных управлению полномочий, является мотивированным и исполнимым. Судебные инстанции исходили из того, что начисление процентов за пользование займом с учетом дат его предоставления и возврата в соответствии с условиями, установленными обществом в договоре займа, не соответствует требованиям пункта 2 части 1 статьи 8 Закона о ломбардах. Доводы, изложенные в кассационной жалобе, в том числе со ссылкой на положения подпункта 2 пункта 1 статьи 8 Закона о ломбардах, были предметом рассмотрения судов и им дана надлежащая правовая оценка. Приведенные доводы не свидетельствуют о существенном нарушении норм материального права и норм процессуального права, повлиявших на исход дела, по существу, выражают несогласие с выводами судов в связи с иным применением заявителем положений законодательства, в связи с чем не могут служить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«Золотой ломбард»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