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18.02.2019, оставленным без изменения постановлениями Седьмого арбитражного апелляционного суда от 16.05.2019 и Арбитражного суда Западно-Сибирского округа от 21.08.2019, заявленное требование удовлетворено. В кассационной жалобе управление ставит вопрос об отмене принятых по делу судебных актов, ссылаясь на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плановой выездной проверки использования средств федерального бюджета на поддержку государственных программ субъектов Российской Федерации и муниципальных программ формирования современной городской среды управлением составлен акт и вынесено предписание, в соответствии с которым выявлены нарушения в отношении установленных по муниципальному контракту от 01.08.2017 № 73/17 скамеек, урн, тротуарной бетонной, тактильной плитки и бетонной брусчатки. Основанием для выдачи предписания послужили выводы управления о нарушении учреждением статьи 70 Бюджетного кодекса Российской Федерации (далее – Бюджетный кодекс), части 7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пункта 6.23 «СП 82.13330.2016. Свод правил. Благоустройство территорий. Актуализированная редакция СНиП III-10-75». Предписанием управления на учреждение возложена обязанность по устранению выявленных нарушений законодательства. Не соглашаясь с указанным ненормативным актом, учреждение обратилось в арбитражный суд с соответствующим заявлением. Удовлетворяя заявленное требование,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6 , 34 , 70 , 72 , 162 , 219 Бюджетного кодекса, статей 763 , 766 Гражданского кодекса Российской Федерации, статей 24, 33, 64, 95 Закона о контрактной системе, пришли к выводу о том, что оспариваемое предписание не соответствует закону и нарушает права и интересы заявителя. При этом судебные инстанции исходили из того, что установленные подрядчиком и принятые заказчиком малые архитектурные формы (скамейки и урны) соответствуют муниципальному контракту и проектной документации, а нарушения по качеству выполненных работ отсутствовали в момент выдачи предписания. Обстоятельства данного спора и представленные доказательства были предметом рассмотрения и оценки судов. Изложенные в кассационной жалобе доводы являлись предметом рассмотрения судов и получили надлежащую правовую оценку, не свидетельствуют о наличии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входит в полномочия кассационной инстанции Верховного Суда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