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18.04.2019, оставленным без изменения постановлением Пятого арбитражного апелляционного суда от 25.06.2019, в удовлетворении заявленного требования отказано. Постановлением Арбитражного суда Дальневосточного округа от 23.09.2019 указанные судебные акты оставлены без изменения. Предприниматель в кассационной жалобе просит отменить принятые по делу судебные акты,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установленный административным органом факт несоблюдения предпринимателем требований части 2 статьи 1, части 3 статьи 5, части 1 статьи 10 Технического регламента Таможенного союза ТР ТС 021/2011 «О безопасности пищевой продукции», частей 1, 3 статьи 1, пункта 1 части 4.1 статьи 4 Технического регламента Таможенного союза ТР ТС 022/2011 «Пищевая продукция в части ее маркировки», статей 11, 12, 13, 54, 72, 73, 74 Технического регламента Евразийского экономического союза ТР ЕАЭС 040/2016 «О безопасности рыбы и рыбной продукции», а именно: предприниматель допустил хранение и реализацию рыбной продукции и морепродуктов в отсутствие маркировки изготовителя с информацией об их происхождении, дате выработки, сроках и условиях хранения и т.д.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14.43.1, 14.44, 14.46, 14.46.1, 20.4 настоящего Кодекса. Оценив представленные доказательства, суды пришли к выводу о наличии в действиях предпринимателя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правонарушениях. При этом суды исходили из того, что субъектом ответственности является лицо, обязанное соблюдать требования технических регламентов применительно к осуществляемой им деятельности. В рассматриваемом случае маркировка продукции при реализации должна соответствовать требованиям указанных технических регламентов, в том числе, в целях предупреждения действий, вводящих в заблуждение потребителей, а также в целях обеспечения реализации прав потребителей на достоверную информацию о пищевой продукции. Процедура и срок давности привлечения к административной ответственности соблюдены, штраф назначен в пределах санкции нормы. Поскольку состав административного правонарушения подтвержден, доказательств соответствия рыбной продукции и морепродуктов требованиям технического регламента (в том числе относительно срока годности и происхождения), предписание об уничтожении или утилизации изъятой продукции признано судами законным.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указанного ходатайства не имеется.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