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23.04.2019, оставленным без изменения постановлением Пятого арбитражного апелляционного суда от 10.07.2019, по первоначальному иску взыскано 24 300 000 рублей задолженности, 3 607 269 рублей 31 копейка процентов за пользование займом с дальнейшим начислением процентов за пользование заемными средствами на сумму взысканной задолженности, начиная с 24.11.2018 исходя из ставки, установленной пунктом 2.4 договоров займа, и на сумму 1 000 000 рублей исходя из ключевой ставки Банка России, действующей в соответствующие периоды до фактического исполнения обязательства или его части; в удовлетворении встречного иска отказано. Арбитражный суд Дальневосточного округа постановлением от 27.09.2019 решение от 23.04.2019 и постановление Пятого арбитражного апелляционного суда от 10.07.2019 оставил без изменения. В кассационной жалобе завод просит об отмене судебных актов как незаконных, ссылаясь на нарушение пределов заявленных требований и неисследование обстоятельств притворности займов.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превышении судом первой инстанции пределов заявленного иска неоснователен, поскольку спор рассмотрен исходя из заявленных с учетом уточнений требований. Довод о неисследовании обстоятельств притворности займов опровергается содержанием судебных актов, установивших требуемую в силу закона реальность займов. Учитывая, что жалоба удовлетворению не подлежит, основания для приостановления исполнения судебных актов, о котором просил ее податель,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«Консервный завод «Спасский»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