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01.04.2019, оставленным без изменения постановлением Пятнадцатого арбитражного апелляционного суда от 18.06.2019, в удовлетворении заявленного требования отказано. Постановлением Арбитражного суда Северо-Кавказского округа от 26.08.2019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налоговый орган доначислил налог на прибыль, признав участие общества в формальном документообороте со спорным контрагентом в рамках договора поставки, а также неподтверждение наличия дебиторской задолженности и предусмотренных законом оснований для признания ее безнадежной к взысканию и отнесения в состав внереализационных расходов. Отказывая в удовлетворении требования и признавая обоснованными выводы налогового органа, суды руководствовались положениями статей 169 , 171 , 172 , 247 , 252 , 272 Налогового кодекса Российской Федерации, с учетом правовой позиции,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выгоды». При этом суды исходили из того, что налоговые обязательства налогоплательщика определены исходя из подлинного экономического содержания совершенных сделок, в том числе путем исключения из налоговой базы суммы дохода в виде премии по спорному договору с контрагентом в размере 25 000 000 рублей.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