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05.03.2019, оставленным без изменения постановлением Четвертого арбитражного апелляционного суда от 23.05.2019 и постановлением Арбитражного суда Восточно-Сибирского округа от 02.09.2019, иск удовлетворен. В кассационной жалобе общество «Бизнес-Аудит» просит о пересмотре судебных актов как незаконных вследствие отсутствия связи между исполнением договора и требуемыми убытками.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и оценили обстоятельства образования убытков и их состав и установили, что ответственность за неисполнение налоговой обязанности применена к истцу вследствие ненадлежащего исполнения ответчиком обязательств, возникших из договора от 31.08.2015 № 89/б-15. Признав доказанным причастность ответчика к требуемым убыткам, необходимую в силу статей 15 , 393 Гражданского кодекса Российской Федерации для их взыскания, суды удовлетворили иск в соответствии с обстоятельствами исполнения договора и названными нормам. Переоценка выводов судов в отношении условий применения ответственности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«Бизнес-Аудит»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