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12.02.2019, оставленным без изменения постановлением Девятого арбитражного апелляционного суда от 17.05.2019 и постановлением Арбитражного суда Московского округа от 28.08.2019, исковые требования удовлетворены. В кассационной жалобе, поданной в Верховный Суд Российской Федерации, компания,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что общество «Русинжиниринг» (подрядчик) выполнило работы и поставило оборудование в рамках заключенного с компанией (заказчиком) договора подряда от 16.10.2008 № 289Г4/08-1, доказательств полной и своевременной оплаты которых последней не представлено. При таких обстоятельствах, руководствуясь статьями 309 , 310 , 382 , 384 , 395 , 431 , 454 , 458 , 486 , 516 , 702 , 711 , 740 , 746 , 758 , 762 Гражданского кодекса Российской Федерации, суды пришли к выводу о наличии оснований для удовлетворения исковых требований общества «Эйч Ди Энерго», получившего право требования денежных средств на основании договора уступки права требования от 02.06.2015 № 32/03-2015, заключенного с подрядчиком.С указанными выводами впоследствии согласился суд округа. Доводы кассационной жалобы, в том числе о пропуске срока исковой давности,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«Федеральная сетевая компания Единой энергетической системы»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По договору подряда Судебная практика по применению норм ст. 702, 703 ГК РФ По договору купли продажи, договор купли продажи недвижимости Судебная практика по применению нормы ст. 454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