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11.07.2019, принятым в порядке упрощенного производства и оставленным без изменения постановлением Девятого арбитражного апелляционного суд от 28.08.2019, взыскано 168 000 рублей убытков. В кассационной жалобе организация просит о пересмотре судебных актов как незаконных в части отказа во взыскании процентов за пользование чужими денежными средствами.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 взыскании процентов отказано в соответствии в соответствии с официальным судебным толкованием их начисления на внедоговорные убытки (пункт 57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обязательств»).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«Лаборатория по производству судебной экспертизы объектов патентных прав и средств индивидуализации»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