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25.02.2019, оставленным без изменения постановлением Девятого арбитражного апелляционного суда от 30.05.2019 и постановлением Арбитражного суда Московского округа от 28.08.2019, иск удовлетворен частично. В кассационной жалобе предприятие просит отменить судебные акты вследствие неосновательного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«Мосгортранс»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