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«Tera Resource Co Ltd» (далее - компания «Тера Ресурс Ко Лтд») обратилась в Арбитражный суд Республики Башкортостан с исковым заявлением к компании «JAV International Ventures Ltd», компании «Keriat Oil Ltd» и компании «Oliver Petroleum Ltd» (далее – компания «Оливер Петролеум Лтд») об исключении из состава акционеров акционерного общества «Совместное российско-канадское предприятие «Винка» (далее - общество «Винка»). Компания «Оливер Петролеум Лтд» обратилась в арбитражный суд с встречным исковым заявлением об исключении компании «Тера Ресурс Ко Лтд» из состава акционеров общества «Винка» и об обязании регистратора внести соответствующую запись. Определением Арбитражного суда Республики Башкортостан от 29.01.2019, оставленным без изменения постановлением Восемнадцатого арбитражного 2 апелляционного суда от 14.05.2019 и постановлением Арбитражного суда Уральского округа от 19.08.2019, встречное исковое заявление возвращено.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первоначальный и встречный иски имеют неразрывную правовую связь, в связи с чем подлежат рассмотрению в рамках одного спора с целью более быстрого и правильного разрешения дела.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Исследовав и оценив по правилам статьи 71 АПК РФ представленные доказательства, приняв во внимание положения статей 9, 41, 65, 132, 159 названного Кодекса, суды исходя из конкретных обстоятельств спора, возвратили встречное исковое заявление, указав из недобросовестное поведение стороны, приняв при этом во внимание, что производство по делу по иску компании «Тера Ресурс Ко Лтд» к компании «Оливер Петролеум Лтд» возбуждено 05.07.2018, неоднократно откладывалось, тогда как встречный иск подан только спустя полгода после возбуждения производства по делу - 25.01.2019, за день до судебного заседания (28.01.2019), при этом ответчик не обосновал наличие у него каких-либо объективных препятствий к своевременной реализации данного права. Кроме того, решение Арбитражного суда Республики Башкортостан от 15.02.2019, вынесенное по существу спора, вступило в законную силу, что создает объективную невозможность направления встречного иска в суд первой инстанции для совместного рассмотрения с первоначальными требованиями. Доводы кассационной жалобы, которые были предметом рассмотрения суда апелляционной инстанции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компании «Oliver Petroleum Ltd»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