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21.01.2019, оставленным без изменения постановлением Девятнадцатого арбитражного апелляционного суда от 19.04.2019 и постановлением Арбитражного суда Центрального округа от 21.08.2019, взыскано 5 095 000 рублей, в расторжении договора отказано. В кассационной жалобе компания просит о пересмотре указанных судебных актов как незаконных вследствие отсутствия оценки ее доводов и доказательств, отклонения и нерассмотрения ее ходатайств о фальсификации доказательств, проведении повторной экспертизы, ненадлежащего характера проведенной истцом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исполнения сторонами договора поставки № 018/18 от 21.06.2018, суды установили фактический отказ истца (покупателя) от договора в связи с ненадлежащим качеством поставленного ответчиком (поставщиком) товара и отсутствие основания для удержания полученной предоплаты, поэтому удовлетворили иск в соответствии со статьями 469 , 475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«Северо-Западная Трубная Гидроизоляционная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