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18.07.2018 исковое заявление оставлено без рассмотрения вследствие несоблюдения истцом претензионного порядка. Определением Арбитражного суда города Москвы от 20.03.2019, оставленным без изменения постановлением Девятого арбитражного апелляционного суда от 10.06.2019 и постановлением Арбитражного суда Московского округа от 27.08.2019, заявление общества «РВО ГРУПП» о взыскании 300 000 рублей судебных расходов удовлетворено на сумму в 30 000 рублей. В кассационной жалобе общество «РВО ГРУПП» просит об отмене судебных актов вследствие необоснованного снижения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Рассматривая заявление о судебных расходах, суды руководствовались постановлением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статьями 101 , 106 , 110 Арбитражного процессуального кодекса Российской Федерации и обстоятельствами рассмотрения дела. Суды проверили соответствие заявленных судебных расходов критериям разумности и обоснованности, определенным законом и судебной практикой, и установили разумную и обоснованную сумму затрат, понесенных ответчиком в связи с рассмотрением дела, во взысканном размере. Доводы жалобы сводятся к иной оценке обстоятельств несения расходов, не создающей обозначенных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«РВО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