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11.03.2019, оставленным без изменения постановлением Девятого арбитражного апелляционного суда от 17.06.2019 и постановлением Арбитражного суда Московского округа от 17.09.2019, иск удовлетворен частично. В кассационной жалобе предприятие просит отменить судебные акты вследствие неосновательного уменьшения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города Москвы «Мосгортранс»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