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19.03.2019, оставленным без изменения постановлением Четвертого арбитражного апелляционного суда от 13.06.2019 и постановлением Арбитражного суда Восточно-Сибирского округа от 04.09.2019, первоначальный иск удовлетворен, встречный иск удовлетворен частично. В результате зачета удовлетворенных требований с предприятия в пользу учреждения взыскано 524 848 рублей 04 копейки основного долга, 83 рубля 11 копеек неустойки. В кассационной жалобе учреждение просит об отмене судебных актов как незаконных вследствие игнорирования основания для оставления встречного иска без рассмотрения.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 о досудебном порядке урегулирования спора на стадии кассационного производства не составляет оснований для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25 Главного управления Федеральной службы исполнения наказаний по Иркутской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