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04.03.2019, оставленным без изменения постановлением Одиннадцатого арбитражного апелляционного суда от 15.05.2019 и постановлением Арбитражного суда Поволжского округа от 21.08.2019, иск удовлетворен. В кассационной жалобе общество «Морава» просит о пересмотре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доказательства, суды установили факт оказания истцом надлежаще согласованных с ответчиком по объему и стоимости услуг и необоснованную их неоплату, поэтому удовлетворили требование о взыскании задолженности в соответствии со статьями 182 , 779 , 781 Гражданского кодекса Российской Федерации. Судебные акты по делу № А55-2154/2019 не влияют на судьбу обжалуемых судебных актов, поскольку названное дело рассмотрено с участием других сторон и об исполнении другого договора. Оспаривание выводов судов об обстоятельствах дела, заложенное в доводах кассационной жалобы, не составляет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