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11.03.2019, принятым в порядке упрощенного производства и оставленным без изменения постановлением Тринадцатого арбитражного апелляционного суда от 17.05.2019, иск удовлетворен. Постановлением Арбитражного суда Северо-Западного округа от 12.09.2019 решение и постановление апелляционного суда отменены, дело направлено на новое рассмотрение. В кассационной жалобе фабрика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отсутствие законных оснований для рассмотрения нижестоящими судами дела в порядке упрощенного производства, повлекшее разрешение спора без извещения сторон и ведения протоколов судебных заседаний, поэтому отменил их судебные акты в пределах компетенции, предусмотренной статьями 286 , 287 Арбитражного процессуального кодекса Российской Федерации.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«Фабрика нетканых материалов «Невская»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