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14.02.2019 в иске отказано. Постановлением Пятнадцатого арбитражного апелляционного суда от 18.05.2019 решение от 14.02.2019 отменено с прекращением производства по требованию о признании действий следователя незаконными; в остальной части решение оставлено без изменения. Постановлением Арбитражного суда Северо-Кавказского округа от 23.08.2019 постановление апелляционного суда оставлено без изменения. В кассационной жалобе общество просит об отмене судебных актов, ссылаясь на отсутствие оценки его ходатайства перед следствием о копировании информации на собственный носитель.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следственные действия проверены судом общей юрисдикции и признаны правомерными, а документы, в связи с изъятием которых общество заявляет о взыскании убытков, переданы генеральному директору общества сразу по получении от него ходатайства. В связи с неустановлением условий, требуемых в силу статей 15 , 1069 Гражданского кодекса Российской Федерации, во взыскании убытков правильно отказано.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«Спецпроект-Монтаж»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