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20.12.2018, оставленным без изменения постановлением Пятнадцатого арбитражного апелляционного суда от 15.05.2019, первоначальный иск удовлетворен, встречный иск удовлетворен частично. В результате зачета требований с общества в пользу центра взыскано 160 744 рубля 43 копейки задолженности. Постановлением Арбитражного суда Северо-Кавказского округа от 23.08.2019 судебные акты отменены по встречному иску и в его удовлетворении отказано; в остальной части судебные акты оставлены без изменения. В кассационной жалобе центр просит о пересмотре указанных судебных актов как незаконных, ссылаясь на отличное от определенного по воле сторон толкования договора, игнорирование досудебного признания компанией штрафа и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моменту прекращения срока действия договора поставки от 03.08.2016 № 0308-1 центр не поставил компании товар на полученную авансом сумму, которую в отсутствие договора суды обязали возвратить в силу статьи 1102 Гражданского кодекса Российской Федерации. Во взыскании договорных неустойки за просрочку уплаты аванса и штрафа за односторонний отказ от договора отказано в соответствии обстоятельствами исполнения договора и содержанием условий об ответственности. Признания компанией требований, заявленных во встречном иске, в процессе рассмотрения дела не установлено.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«Координирующий распределительный центр «ЭФКО-Каскад»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