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31.01.2019, оставленным без изменения постановлением Одиннадцатого арбитражного апелляционного суда от 24.04.2019 и постановлением Арбитражного суда Поволжского округа от 26.08.2019, заявленное требование удовлетворено.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и отказать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управление с жалобой на действия учреждения (заказчик) при проведении закупки на выполнение работ по капитальному ремонту помещений в здании отдела № 27 Управления Федерального казначейства по Саратовской области. Решением антимонопольного органа жалоба общества признана необоснованной в части довода заявителя о неправомерном решении комиссии заказчика по отклонению заявки участника (пункт 1), довод жалобы на положения аукционной документации оставлен без рассмотрения (пункт 2), в действиях заказчика установлено нарушение пункта 2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(пункт 3), предусмотрено не выдавать предписание (пункт 4) и передать материалы должностному лицу управления для рассмотрения вопроса о необходимости возбуждения административного производства в отношении лиц, допустивших нарушения норм законодательства о контрольной системе (пункт 5). Считая решение управления в части пунктов 3 и 5 незаконным, учреждение обратилось в арбитражный суд. Рассматривая спор, суды установили, что основанием для принятия решения в оспоренной части послужил вывод антимонопольного органа об отсутствии в документации заказчика обоснования необходимости использования показателей, установленных в соответствии с техническими условиями конкретного производителя. Оценив представленные в материалы дела доказательства, суды трех инстанций, руководствуясь положениями статьи 33 Закона о контрактной системе, статьи 14 Федерального закона от 29.06.2015 № 162-ФЗ «О стандартизации в Российской Федерации», правовой позицией, изложенной в пункте 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об отсутствии у управления правовых оснований для принятия решения ввиду отсутствия в действиях учреждения вменяемого нарушения. Судебные инстанции исходили из того, что требования документации заказчика соответствуют критерию объективности и соотносятся с объектом закупки. При этом указание конкретного показателя (ТУ) в рассматриваемом случае не может привести к ограничению конкуренции, поскольку товар, соответствующий указанным в таблице техническим условиям, не ограничен в обороте, может быть приобретен и использован при выполнении работ любым юридическим или физическим лицом. Доводы, изложенные в кассационной жалобе, сводятся к повторению позиции управления по спору, являлись предметом рассмотрения судов и не свидетельствуют о существенном нарушении норм материального и процессуального права, повлиявших на исход дела. По существу доводы жалобы выражают несогласие с выводами судов по фактическим обстоятельствам спора, что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