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12.04.2019, оставленным без изменения постановлением Девятого арбитражного апелляционного суда от 26.06.2019 и постановлением Арбитражного суда Московского округа от 03.10.2019,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камеральная налоговая проверка представленной обществом уточненной налоговой декларации по налогу на имущество за 2017 год, в ходе которой установлено неправомерное исчисление налогооблагаемой базы исходя из кадастровой стоимости недвижимого имущества, установленной вступившим в законную силу решением Московского городского суда от 20.12.2017, за вычетом налога на добавленную стоимость по ставке 18/118 процентов. Данные обстоятельства послужили основанием для принятия налоговым органом решения об отказе в привлечении к ответственности за совершение налогового правонарушения и доначислении к уплате в бюджет 443 791 рубля налога на имущество. Считая решение незаконным, общество обратилось в арбитражный суд. Оценив представленные в материалы дела доказательства, суды, руководствуясь положениями статей 21 , 373 , 374 , 375 , 378.2 Налогового кодекса Российской Федерации, статей 3, 24.17, 24.18, 24.20, 28.14 Федерального закона от 29.07.1998 № 135-ФЗ «Об оценочной деятельности в Российской Федерации», пришли к выводу о законности оспоренного решения ввиду правомерного исчисления инспекцией подлежащего к уплате обществом в бюджет налога на имущество исходя из кадастровой стоимости, установленной уполномоченным органом и внесенной в Единый государственный реестр недвижимости (далее – ЕГРН). Судебные инстанции отметили, что для целей налогообложения стоимости имущества применению подлежат сведения о кадастровой стоимости, отраженные в ЕГРН, при условии их внесения без технической ошибки. При этом оценка законности и обоснованности включения или не включения суммы налога на добавленную стоимость в указанную в ЕГРН кадастровую стоимость объекта недвижимости для целей налогообложения по налогу на имущество осуществляется за рамками оспаривания решения налогового органа. Доводы, изложенные в кассационной жалобе, повторяют позицию общества по спору, не опровергают выводы судов и не подтверждают существенного нарушения норм материального и процессуального права, повлиявших на исход дела. По существу доводы жалобы выражают несогласие с выводами судов ввиду иного применения положений законодательства к установленным обстоятельствам спора, что не может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