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07.03.2019, оставленным без изменения постановлением Десятого арбитражного апелляционного суда от 27.05.2019 и постановлением Арбитражного суда Московского округа от 21.08.2019, по первоначальному иску взыскано 5 000 000 рублей неосновательного обогащения, 225 787 рублей 67 копеек процентов за пользование чужими денежными средствами; в удовлетворении встречного иска отказано. В кассационной жалобе компания просит об отмене указанных судебных актов, ссылаясь на несоответствие их договору и обстоятельствам его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исполнения договора от 05.07.2017 № 8/17, суды установили, что спорная сумма подлежит возврату на основании статьи 1102 Гражданского кодекса Российской Федерации в связи с отсутствием согласованного результата рассмотрения дела № А41-57391/2017. Требуемая в жалобе переоценка выводов судов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Линия Защиты»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