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27.03.2019, оставленным без изменения постановлением Пятнадцатого арбитражного апелляционного суда от 03.06.2019 и постановлением Арбитражного суда Северо-Кавказского округа от 24.09.2019, иск удовлетворен частично с учетом примененной исковой давности. В кассационной жалобе предприниматель просит об отмене судебных актов, ссылаясь на отсутствие у взыскиваемой платы абонентского характера и основания для взимания платы при фактическом неоказании услуги по подаче и уборке вагонов.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установление сторонами платы за пользование железнодорожным путем необщего пользования в договоре от 11.09.2017 № 167/1 соответствующим статье 58 Устава железнодорожного транспорта Российской Федерации. Иные оценка заявителем характера спорной суммы и условий ее уплаты не создает оснований для кассационного пересмотра судебных актов, соответствующих закону и судебной практике.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