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11.03.2019, оставленным без изменения постановлением Двенадцатого арбитражного апелляционного суда от 20.05.2019 и постановлением Арбитражного суда Поволжского округа от 29.08.2019,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обращением гражданина прокуратурой проведена проверка соблюдения требований законодательства, регулирующего порядок размещения на автомобильных дорогах общего пользования объектов дорожного сервиса. В ходе проверки установлено, что общество, являясь собственником объекта придорожного сервиса - автогазозаправочной станции, в нарушение части 13 статьи 3, статьи 22, части 8 статьи 26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(далее – Закон № 257-ФЗ) с 2009 года эксплуатирует объект в отсутствие письменного согласия владельца автомобильный дороги. При этом договор присоединения объектов дорожного сервиса к автомобильной дороге не заключался, технические условия не выдавались, переходно-скоростные полосы, их освещение и надлежащее водоотведение с объекта отсутствуют. В целях устранения нарушений прокурором выдано представление, которое оспорено обществом в арбитражный суд. Оценив представленные в материалы дела доказательства, суды, руководствуясь положениями статьи 24 Федерального закона «О прокуратуре Российской Федерации», статей 3, 22, 26, 61 Закона № 257-ФЗ, ГОСТ Р 52766-2007 «Дороги автомобильные общего пользования. Элементы обустройства. Общие требования», утвержденным приказом Ростехрегулирования от 23.10.2007 № 270-ст, постановлением Правительства Российской Федерации от 17.11.2010 № 928 «О перечне автомобильных дорог общего пользования федерального значения», пришли к выводу о законности оспоренного представления ввиду доказанности эксплуатации обществом объекта придорожного сервиса (автогазозаправочной станции) с нарушением требований к обеспечению безопасности дорожного движения, что препятствует бесперебойному движению транспортных средств, создает угрозу безопасности дорожного движения, сохранению жизни, здоровья и имущества неопределенного круга лиц. Доводы общества, изложенные в кассационной жалобе, сводятся к изложению обстоятельств дела, которые были предметом исследования судов и получили правовую оценку с учетом установленных обстоятельств дела. Приведенные доводы не свидетельствуют о существенном нарушении норм материального и процессуального права, повлиявшем на исход дела,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Ссылки общества на иную судебную практику не свидетельствуют о нарушении единообразия в толковании и применении норм права с учетом установленных обстоятельств по делу.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