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Рязанской области от 26.07.2018, оставленным без изменения постановлением Двадцатого арбитражного апелляционного суда от 10.07.2019 и постановлением Арбитражного суда Центрального округа от 14.10.2019, требование удовлетворено.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 и принять новый судебный акт об отказе в удовлетворении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предпринимателю выдано свидетельство серии 00062С № 000072 об осуществлении перевозок по маршруту регулярных перевозок № 85аМ2 «ж/д ст. Лесок - Кардиодиспансер - пос. Южный» сроком действия на 5 лет с 21.05.2017 по 20.05.2022 и шесть карт маршрута серии 00062Р №№ 001806- 001811 на шесть единиц автобусов. Между региональным центром (исполнитель) и предпринимателем (заказчик) 13.07.2016 заключен договор № 396 на подключение к региональной навигационно-информационной системе (далее - РНИС) и оказание услуг в сфере навигационной деятельности. В период с 01.11.2017 по 30.11.2017 в отношении заявленных предпринимателем для обслуживания маршрута транспортных средств установлены неоднократные случаи непередачи информации в РНИС на телематический сервер регионального центра. Ссылаясь на невыполнение предпринимателем обязательных требований в сфере организации регулярных перевозок, управление обратилось в арбитражный суд с заявлением о прекращении действия свидетельства об осуществлении перевозок. Удовлетворяя заявленное требование и прекращая действие выданного предпринимателю свидетельства об осуществлении перевозок по маршруту регулярных перевозок, суды первой и апелляционной инстанций, оценив представленные в материалы дела доказательства, руководствуясь положениями Федерального закона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Закона Рязанской области от 06.06.2016 № 27-ОЗ «Об отдельных вопросах правового регулирования отношений по организации регулярных перевозок пассажиров и багажа автомобильным транспортом и городским наземным электрическим транспортом в Рязанской области», исходили из того, что в течение одного календарного месяца предпринимателем более двух раз не передана мониторинговая информация о параметрах движения и местонахождении транспортных средств, используемых для осуществления регулярных перевозок и оснащенных в установленном порядке аппаратурой спутниковой навигации ГЛОНАСС и ГЛОНАСС/GPS. Суд округа поддержал выводы судов первой и апелляционной инстанций. Доводы жалобы являлись предметом рассмотрения судов и им дана надлежащая правовая оценка. Приведенные заявителем доводы не свидетельствуют о существенных нарушениях норм материального и процессуального права, которые повлияли на исход дела, выражают несогласие с выводами судов по фактическим обстоятельствам настоящего спора,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