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апелляционного суда от 27.05.2019 иск удовлетворен частично. Определением Арбитражного суда Северо-Кавказского округа от 21.08.2019, оставленным без изменения определением того же суда от 05.09.2019, кассационная жалоба общества «Лидер» возвращена из-за неустранения в установленный судом срок обстоятельств, послуживших основанием для оставления кассационной жалобы без движения. В кассационной жалобе общество «Лидер» просит отменить определения окружного суда от 21.08.2019 и от 05.09.2019 в связи с нарушением норм процессуального права 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Частью 6 статьи 21 Арбитражного процессуального кодекса Российской Федерации на участвующих в деле лиц возложены обязанность самостоятельного ознакомления любыми способами со сведениями о движении дела и последствия неисполнения этой обязанности. О судьбе поданной жалобы общество «Лидер» могло узнать не только через почтовые отправления. Окружной суд, рассмотрев возражение общества «Лидер» о недостаточном сроке для устранения недостатка в оформлении кассационной жалобы, установил обратное и мотивированно отклонил возражение, применив последствия в виде возращения жалобы. Доводы жалобы аналогичны получившим правовую оценку окружного суда. На основании изложенного,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«Лидер»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