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25.03.2019, оставленным без изменения постановлением Двенадцатого арбитражного апелляционного суда от 04.07.2019, в удовлетворении заявленного требования отказано. Постановлением Арбитражного суда Поволжского округа от 01.10.2019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мнении, судом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установленный административным органом факт осуществления предпринимателем регулярных перевозок пассажиров при отсутствии карты маршрута регулярных перевозок, что является нарушением статьи 35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доказательства, суды пришли к выводу о наличии в действиях предпринимателя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правонарушениях. При этом суды исходили из того, что неоднократное осуществление перевозок по одному и тому же маршруту неопределенного круга лиц по установленному перевозчиком времени свидетельствует об организации регулярных перевозок. Возможность избежания административной ответственности, предусмотренной частью 4 статьи 11.33 Кодекса Российской Федерации об административных правонарушениях, за отсутствие карты маршрута при осуществлении регулярных перевозок пассажиров в случае неуказания такого маршрута в реестре муниципальных маршрутов, приводит к получению лицом, осуществляющим такие перевозки, необоснованных преимуществ из своего незаконного и недобросовестного поведения. Выводы судов не противоречат правовой позиции, изложенной в определении Судебной коллегии по экономическим спорам Верховного Суда Российской Федерации от 01.10.2019 № 310-ЭС19-10668. Доводы предпринимателя о вынесении постановления о привлечении к административной ответственности без участия предпринимателя и в отсутствие надлежащих доказательств его извещения о совершении указанного действия, являлись предметом рассмотрения судов и были отклонены с учетом установленных фактических обстоятельств дела, связанных с принятием административным органом всех необходимых и возможных мер для надлежащего извещения предпринимателя о времени и месте рассмотрения дела об административном правонарушении, в том числе путем направления уведомления по адресу временной регистрации, а также извещения его по всем известным адресам электронной почты. Доводов, опровергающих выводы судов о принадлежности и использовании предпринимателем адресов электронной почты (avto-perevozki.vlg.mail.ru; guzev34@list.ru), не приведено. Несогласие заявителя с толкованием судебными инстанциями норм Кодекса Российской Федерации об административных правонарушениях и законодательства, подлежащих применению к спорным правоотношениям,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