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20.03.2019, оставленным без изменения постановлением Одиннадцатого арбитражного апелляционного суда от 20.05.2019, общество освобождено от административной ответственности в связи с малозначительностью совершенного правонарушения, объявлено устное замечание. Постановлением Арбитражного суда Поволжского округа от 28.08.2019 указанные судебные акты оставлены без изменения. Антимонопольный орган обратился в Верховный Суд Российской Федерации с кассационной жалобой, ссылаясь на невозможность применения в рассматриваемом случае положений статьи 2.9 Кодекса Российской Федерации об административных правонарушениях. Изучив изложенные в жалобе доводы и принятые по делу судебные акты, судья не находит оснований для удовлетворения жалобы. Как следует из судебных актов, суды установили факт нарушения обществом порядка (срока подачи) уведомления в антимонопольный орган о получении в пользование части акватории водного объекта площадью более чем 100 тыс. кв. метров, однако усмотрели основания для освобождения общества от административной ответственности ввиду малозначительности правонарушения. Антимонопольный орган в жалобе указывает, что непредставление информации в рассматриваемом случае не может быть признано малозначительным правонарушением.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 том числе защита охраняемых законом публичных интересов (часть 1 статьи 291.11 Арбитражного процессуального кодекса Российской Федерации). В соответствии с пунктом 47 Обзора судебной практики Верховного Суда Российской Федерации № 3 (2019) (утв. Президиумом Верховного Суда Российской Федерации 27.11.2019)) административные правонарушения против порядка управления подрывают основы государственности, нарушают нормальное функционирование государственных институтов. Между тем, в жалобе не приведено доводов о том, как в конкретном рассматриваемом случае несвоевременное представление в антимонопольный орган предусмотренной антимонопольным законодательством информации повлекло (или могло повлечь) неполное и (или) несвоевременное исследование антимонопольными органами соответствующих фактических обстоятельств, специфики товарных рынков и, как следствие, - искажение результатов контрольных мероприятий, нарушение прав и законных интересов субъектов, чья деятельность находится в сфере антимонопольного контроля, и т.д. Ссылка на определение Судебной коллегии по экономическим спорам Верховного Суда Российской Федерации от 16.04.2019 № 307-АД18-24091 подлежит отклонению, поскольку касается обстоятельств, когда неисполнение законного требования антимонопольного органа повлекло наступление конкретных общественно опасных последствий, обусловленных невозможностью продолжения проведения проверки и, как следствие, осуществления государственного контроля за соблюдением антимонопольного законодательства.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