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податель жалобы обосновывает ходатайство об отсрочке уплаты государственной пошлины сложным имущественным положением, обусловленным отсутствием денежных средств на счете.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и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2 Представленная справка ПАО «Сбербанк» о состоянии открытого в нем счета предпринимателя не подтверждает его имущественного положения на день подачи кассационной жалобы – 11.12.2019, поскольку отражает сведения по состоянию на 02.08.2019 в отсутствие подтвержденных налоговым органом сведений о принадлежности этого счета предпринимателю, а также сведений о возможном наличии у него других счетов. Согласно пункту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Учитывая, что ходатайство об отсрочке уплаты госпошлины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возврату, однако в связи с подачей ее в электронном виде фактически не возвращается, а не рассматривается по существу. Руководствуясь статьей 184,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Мубинову Флюсу Харисовичу в удовлетворении ходатайства о предоставлении отсрочки уплаты государственной пошлины за подачу кассационной жалобы на решение Арбитражного суда Республики Башкортостан от 07.08.2019 по делу № А07-4664/2019, постановление Восемнадцатого арбитражного апелляционного суда от 09.10.2019 и постановление Арбитражного суда Уральского округа от 11.12.2019 (резолютивная часть) по тому же делу.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