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27.02.2019, оставленным без изменения постановлением Девятого арбитражного апелляционного суда от 16.05.2019 и постановлением Арбитражного суда Московского округа от 29.08.2019,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за период с 01.01.2014 по 31.12.2015, по результатам составлен акт и вынесено решение о привлечении к ответственности за совершение налогового правонарушения. Данным решением доначислены налог на прибыль организаций, налог на добавленную стоимость и налог на доходы физических лиц на общую сумму 47 353 119 рублей, начислено 16 242 102 рубля пеней и 6 504 820 рублей штрафа. Основанием для доначисления налогов послужили выводы налогового органа о занижении обществом налоговой базы в связи с неправомерным включением в состав расходов по налогу на прибыль затрат по взаимоотношениям с ООО «Трансинтур», ООО «Интранском», ООО «Транссервис», ООО «МАРС», ООО «Извозчик», ООО «ТЛК-МАГ» (транспортные услуги и погрузочно-разгрузочные работы), ООО «Промснабметалл», ООО «СтройГрад», ООО «Техноторг», ООО «Гарант-СБ», ООО «Комплектпоставка» (поставка продукции, товара) и ООО «Техстройальянс» (работы по установке систем вентиляции и кондиционирования), а также необоснованным применением налоговых вычетов по налогу на добавленную стоимость на основании документов, выставленных от имени указанных контрагентов. Считая решение инспекции незаконным, общество обратилось в арбитражный суд. Оценив представленные в материалы дела доказательства, суды, руководствуясь положениями статей 169, 171, 172, 247,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инспекции правовых оснований для принятия оспоренного решения ввиду доказанности совокупности обстоятельств, свидетельствующих о направленности действий общества на получение необоснованной налоговой выгоды путем учета хозяйственных операций не в соответствии с их действительным экономическим смыслом. Судебные инстанции исходили из создания обществом формального документооборота в отсутствие реальных хозяйственных операций с 3 заявленными в первичных документах контрагентами, которые не осуществляли финансово-хозяйственной деятельности, не обладали материальными и трудовыми ресурсами, не производили платежей и закупку необходимых для осуществления предусмотренных договорами обязательств. Вместе с тем суды указали на самостоятельное осуществление обществом монтажных и пусконаладочных работ, установку систем вентиляции и кондиционирования, а также приобретение товара. Доводы, изложенные в кассационной жалобе, сводятся к нарушению налоговым органом процедуры проведения проверки, являлись предметом рассмотрения судов и получили надлежащую правовую оценку с учетом установленных обстоятельств дела.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«Альмета»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