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обоснованным, документально подтверждённым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Ростовской области от 09.04.2019 и постановление Пятнадцатого арбитражного апелляционного суда от 04.06.2019 по делу № А53-6322/2018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