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04.03.2019, оставленным без изменения постановлением Четырнадцатого арбитражного апелляционного суда от 11.06.2019 и постановлением Арбитражного суда Северо-Западного округа от 17.09.2019,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внеплановой документарной проверки общества на предмет соблюдения лицензионных требований при осуществлении деятельности по управлению многоквартирным домом инспекцией установлено неправомерное повышение управляющей компанией с февраля 2018 года платы за содержание и ремонт общего имущества дома. В целях устранения нарушения выдано предписание. Несогласие с возложением на управляющую компанию обязанности по перерасчету платы за содержание и ремонт общего имущества за период с февраля по май 2018 года (пункт 3 предписания) послужило основанием для обращения общества в арбитражный суд. Признавая предписание в указанной части законным, суды, оценив представленные в материалы дела доказательства, в том числе условия договора управления многоквартирным домом, руководствуясь положениями статей 44 , 45 , 156 , 158 , 162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разъяснениями, изложенными в пункте 17 постановления Пленума Верховного Суда Российской Федерации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собственности», пришли к выводу о доказанности инспекцией факта неправомерного расчета обществом собственникам помещений в многоквартирном доме платы за содержание и ремонт жилого помещения с учетом индексации в отсутствие соответствующего решения общего собрания. Судебные инстанции исходили из того, что нормами жилищного законодательства, имеющего приоритет по отношению к нормам гражданского законодательства при регулировании жилищных отношений, не предусматривается право управляющих организаций на одностороннее изменение размера платы за содержание общего имущества по договорам, заключенным с гражданами-потребителями. При этом безусловное право общества на изменение размера платы в одностороннем порядке договором управления многоквартирным домом не предусмотрено. Доводы, изложенные в кассационной жалобе, повторяют позицию общества по спору, являлись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выводов судов, не свидетельствуют о существенном нарушении норм материального и норм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«Вохтога»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