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21.11.2018 решение инспекции признано недействительным в части отказа в применении налоговых вычетов по налогу на добавленную стоимость (далее - НДС) в сумме 4 074 440 рублей, начисления соответствующих пени и штрафа. В удовлетворении остальной части требования отказано. Постановлением Семнадцатого арбитражного апелляционного суда от 04.03.2019, оставленным без изменения постановлением Арбитражного суда Уральского округа от 19.08.2019, решение суда первой инстанции отменено в части, в удовлетворении заявленного требования отказано полностью.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апелляционной инстанции и постановление суда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инспекцией вынесено решение, которым, в том числе отказано в праве на применение налоговых вычетов по НДС в сумме 4 074 440 рублей. Основанием для отказа в применении налоговых вычетов послужил вывод налогового органа о необоснованном получении обществом налоговой выгоды по хозяйственным операциям с обществами «Аспект», «Универсал- Строй», «Альянс-Ек», «Строительная компания «Гарантстрой», «СпецТехСтрой» по договорам поставки товара. Удовлетворяя заявленное требование по эпизоду, связанному с отказом в применении налоговых вычетов в заявленном размере, суд первой инстанции исходил из недоказанности инспекцией обстоятельств, свидетельствующих о недобросовестности налогоплательщика, что само по себе не может служить основанием для отказа в реализации обществом права, предоставленного налоговым законодательством. Отменяя решение суда в указанной части и отказывая в удовлетворении требования, суд апелляционной инстанции, руководствуясь статьями 169 , 171 , 172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наличии у налогового органа правовых оснований для принятия решения в оспариваемой части с учетом доказанности создания обществом формального документооборота, направленного на получение из бюджета необоснованной налоговой выгоды, с чем согласился суд округа. Судебные инстанции указали, что при проведении проверки налогоплательщиком не представлены документы, подтверждающие реальное осуществление хозяйственных операций и их отражение в бухгалтерском и налоговом учете (оприходование товара и его дальнейшая реализация). Суды также отметили, что контрагенты заявителя не имели возможности поставить товар в связи с отсутствием необходимых условий для достижения результатов соответствующей экономической и предпринимательской деятельности, источник возмещения НДС в бюджете не сформирован, движение денежных средств носило транзитный характер. Доводы общества, изложенные в кассационной жалобе,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не подтверждают существенных нарушений норм материального и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«ГазАппарат-Автоматика»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