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10.12.2019 направило в Верховный Суд Российской Федерации кассационную жалобу на указанные судебные акты и одновременно заявило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2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обществом причины пропуска процессуального срока, учитывая своевременное направление первоначальной жалобы (21.11.2019) и основания ее возврата,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публичного акционерного общества «Межрегиональная распределительная сетевая компания Северо-Запада»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