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Пермского края от 19.04.2019, оставленным без изменения постановлением Семнадцатого арбитражного апелляционного суда от 17.07.2019 и постановлением Арбитражного суда Уральского округа от 22.10.2019, заявленное требование удовлетворено. В кассационной жалобе, поданной в Верховный Суд Российской Федерации, управление, ссылаясь на существенное нарушение норм права, просит отменить судебные акты и отказать в удовлетворении требования.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22.10.2018 заказчиком на официальном сайте опубликовано извещение № 2056700000518000010 о проведении электронного аукциона на поставку горизонтально-расточного станка с числовым программным управлением с выполнением в отношении него следующих работ: монтажных, пусконаладочных, обучение персонала заказчика работе на оборудовании. В антимонопольный орган 21.11.2018 поступила жалоба общества на действия заказчика, выразившиеся в отказе во внесении изменений в положения аукционной документации в части включения в пункты 8.1, 8.3, 9.4 Технического задания параметров эквивалентности спорных характеристик товара согласно разъяснениям положений аукционной документации от 15.11.2018, а также в части обоснования начальной (максимальной) цены контракта. По результатам рассмотрения управлением принято решение о признании жалобы частично обоснованной, в действиях заказчика установлены нарушения пункта 1 части 1 статьи 64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- Закон о контрактной системе), поскольку не внесены изменения в положения аукционной документации в части включения в пункты 8.1, 8.3, 9.4 Технического задания параметров эквивалентности спорных характеристик товара. Не согласившись с решением антимонопольного органа, заказчик обратился в арбитражный суд. Удовлетворяя заявленное требование, суды первой и апелляционной инстанций, оценив представленные в материалы дела доказательства, руководствуясь положениями Закона о контрактной системе, учитывая правовую позицию, изложенную в пункте 1 Обзора судебной практики применения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утвержденного Президиумом Верховного Суда Российской Федерации 28.06.2017, пришли к выводу о том, что оспоренное решение управления не соответствует действующему законодательству и нарушает права и законные интересы заявителя, с чем согласился суд округа. Судебные инстанции исходили из того, что все содержащиеся в техническом задании указания на товарные знаки сопровождаются словами «эквивалент», техническое задание содержит технические характеристики и требования к комплектации товара, в связи с чем у участников закупки имеется возможность соотнесения параметров предлагаемого товара с определенным в техническом задании товарным знаком. При этом судами указано, что статьей 33 Закона о контрактной системе не предусмотрено при описании объекта закупки указание параметров эквивалентности товара, сами по себе указанные комплектующие станка являются распространенными на рынке и обладают соответствующими характеристиками в соответствии со стандартами, на основании которых они производятся, указываются производителями на сайтах в сети интернет, соответственно, не требуют дополнительного детального указания их технических характеристик. Доводы управления, изложенные в кассационной жалобе, являлись предметом рассмотрения судов, не опровергают их выводы, не подтверждают существенных нарушений норм материального права и норм процессуального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Пермскому краю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