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23.10.2018, оставленным без изменения постановлением Второго арбитражного апелляционного суда от 10.04.2019 и постановлением Арбитражного суда Волго-Вятского округа от 16.08.2019, в удовлетворении заявленного требования отказано. В кассационной жалобе, поданной в Верховный Суд Российской Федерации, конкурсный управляющий общества, ссылаясь на существенное нарушение норм права, просит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камеральная налоговая проверка представленной обществом уточненной налоговой декларации по налогу на добавленную стоимость за 1 квартал 2016 года. По результатам проверки налоговым органом составлен акт и вынесено решение о привлечении к ответственности за совершение налогового правонарушения, которым обществу начислено 6 940 773 рубля налога, 55 348 рублей 90 копеек пеней и 62 971 рубль штрафа по пункту 1 статьи 122 Налогового кодекса Российской Федерации (далее – Налоговый кодекс). Основанием для доначисления налога послужил вывод инспекции о занижении обществом налоговой базы в связи с неправомерным применением налоговых вычетов на основании счетов-фактур, выставленных от имени ООО «Регионторгсодружество». Полагая, что налоговым органом допущено существенное нарушение процедуры рассмотрения материалов камеральной проверки, общество обратилось в суд с заявлением о признании решения инспекции недействительным. Отказывая в удовлетворении заявленного требования, суды, оценив представленные в материалы дела доказательства, руководствуясь положениями статей 88 , 100 , 101 Налогового кодекса, принимая во внимание приказы Федеральной налоговой службы от 12.10.2011 № АС-5-2/1222@дсп и от 15.04.2015 № ММВ-7-2/149@, разъяснения, изложенные в пунктах 40 и 41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пришли к выводу о том, что оспоренное решение вынесено налоговым органом с соблюдением порядка проведения камеральной налоговой проверки и не нарушает права и законные интересы общества. Доводы, изложенные в кассационной жалобе, в том числе о двойном начислении недоимки, неправомерном непривлечении конкурсного управляющего к участию в деле в качестве третьего лица и его неизвещении, являлись предметом рассмотрения судов и получили надлежащую правовую оценку с учетом установленных обстоятельств дела. Приведенные доводы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Доводов в отношении выводов инспекции о неправомерном применении обществом налоговых вычетов по счетам-фактурам, выставленным от имени ООО «Регионторгсодружество», при рассмотрении дела заявлено не было и в кассационной жалобе не приведено. С учетом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«Рубим лес»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