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22.05.2019, оставленным без изменения постановлением Двадцатого арбитражного апелляционного суда от 19.08.2019, в удовлетворении заявленного требования отказано. В кассационной жалобе общество просит указанные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установленные административным органом обстоятельства, свидетельствующие о нарушении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сделок, неуведомление в установленный срок финансовым агентом (фактором) - резидентом, которому уступлено денежное требование (в том числе в результате последующей уступки), резидента, являющегося в соответствии с условиями внешнеторгового договора (контракта) с нерезидентом лицом, передающим этому нерезиденту товары, выполняющим для него работы, оказывающим ему услуги либо передающим ему информацию или результаты интеллектуальной деятельности, в том числе исключительные права на них, об исполнении (неисполнении) нерезидентом обязательств, предусмотренных указанным внешнеторговым договором (контрактом), или о последующей уступке денежного требования по указанному внешнеторговому договору (контракту) с приложением соответствующих документов. Оценив представленные доказательства, руководствуясь положениями пункта 7.1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То обстоятельство, что с 01.03.2018 Инструкция от 04.06.2012 № 138-И утратила силу в связи с принятием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представления», не отменяет обязанности резидента представлять документы и информацию при совершении валютных операций в случае закрытия резидентом всех расчетных счетов в банке.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регулирования, за нарушение которых предусмотрена административная ответственность, при этом не представлено доказательств объективной невозможности выполнения нарушенных правил и норм.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