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28.11.2018, оставленным без изменения постановлением Третьего арбитражного апелляционного суда от 08.04.2019 и постановлением Арбитражного суда Восточно-Сибирского округа от 07.08.2019, иск удовлетворен. В кассационной жалобе общество «КрасАвиаПорт» просит о пересмотре судебных актов вследствие того, что выводы судов основаны на неустраненных противоречиях доказательств причины авиапроисшествия.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в пределах компетенции исследовали и оценили обстоятельства возникновения убытков и признали связь убытков с ненадлежащим исполнением ответчиком договора от 01.10.2013 № 131/13, поэтому удовлетворили иск в соответствии со статьями 15 , 393 Гражданского кодекса Российской Федерации. Переоценка выводов судов в отношении условий применения ответственности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«КрасАвиаПорт»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