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28.03.2019, оставленным без изменения постановлением Девятого арбитражного апелляционного суда от 23.05.2019, в удовлетворении заявленного требования отказано. Постановлением Арбитражного суда Московского округа от 16.08.2019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судом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 Суды признали, что изменение срока платежа только в ведомости банковского контроля само по себе не свидетельствует ни об изменении условий контракта о сроке оплаты, ни о ведении работы, направленной на получение валютной выручки на счет в уполномоченном банке. Оснований для иной оценки указанных обстоятельств по доводам жалобы не имеется.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