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17.06.2019, принятым в порядке упрощенного производства и оставленным без изменения постановлением Девятого арбитражного апелляционного суда от 05.09.2019, исковые требования удовлетворены частично. В кассационной жалобе общество «Эмекс.Ру» просит о пересмотре судебных актов как незаконных, ссылаясь на наличие договора, в том числе в отношении неустойки, заключенного в форме акцепта оферты.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применении неустойки суды отказали в связи с несогласованностью ее в порядке статьи 331 Гражданского кодекса Российской Федерации. Осуществление поставки как реального обязательства подтверждено подписанными сторонами товарными накладными, поэтому, взыскивая за нее задолженность, суды исходили из факта передачи товара и удовлетворили иск в соответствии со статьями 506 , 516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«Эмекс.Ру»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