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03.04.2019, оставленным без изменения постановлением Десятого арбитражного апелляционного суда от 11.06.2019 и постановлением Арбитражного суда Московского округа от 23.08.2019, иск удовлетворен. В кассационной жалобе учреждение просит о пересмотре судебных актов, ссылаясь на несоответствие их контракту и неустановления в ранее рассмотренном деле соответствия предоставляемых помещений санитарным правилам.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исходя из обстоятельств данного дела и имеющих отношение к основанию оспариваемого решения обстоятельств, установленных по ранее рассмотренному делу № А41-12224/2018, которым в иске о расторжении контракта учреждению отказано, признали отсутствие вмененной учреждением (заказчиком) обществу (исполнителю) вины в нарушении срока оказания услуг из-за необеспечения учреждением необходимых для исполнения контракта условий. Судебные акты соответствуют обстоятельствам исполнения контракта и статьями 328 , 779 , 781 Гражданского кодекса Российской Федерации.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«Московская областная противопожарно-спасательная служба»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